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MODELO </w:t>
      </w:r>
      <w:r w:rsidDel="00000000" w:rsidR="00000000" w:rsidRPr="00000000">
        <w:rPr>
          <w:color w:val="000000"/>
          <w:vertAlign w:val="baselin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SUSPENSÃO DISCIPLINAR</w:t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Empregado suspenso: FULANO DE TAL, CTPS nº 00000 0000 SC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Esta tem a finalidade de aplicar-lhe a pena de suspensão disciplinar, pelo qual o empregado ficará suspenso de suas atividades pelo prazo de </w:t>
      </w:r>
      <w:r w:rsidDel="00000000" w:rsidR="00000000" w:rsidRPr="00000000">
        <w:rPr>
          <w:color w:val="000000"/>
          <w:vertAlign w:val="baseline"/>
          <w:rtl w:val="0"/>
        </w:rPr>
        <w:t xml:space="preserve">XX</w:t>
      </w:r>
      <w:r w:rsidDel="00000000" w:rsidR="00000000" w:rsidRPr="00000000">
        <w:rPr>
          <w:vertAlign w:val="baseline"/>
          <w:rtl w:val="0"/>
        </w:rPr>
        <w:t xml:space="preserve"> (</w:t>
      </w:r>
      <w:r w:rsidDel="00000000" w:rsidR="00000000" w:rsidRPr="00000000">
        <w:rPr>
          <w:color w:val="000000"/>
          <w:vertAlign w:val="baseline"/>
          <w:rtl w:val="0"/>
        </w:rPr>
        <w:t xml:space="preserve">XXX</w:t>
      </w:r>
      <w:r w:rsidDel="00000000" w:rsidR="00000000" w:rsidRPr="00000000">
        <w:rPr>
          <w:vertAlign w:val="baseline"/>
          <w:rtl w:val="0"/>
        </w:rPr>
        <w:t xml:space="preserve"> dias) em razão da seguinte ocorrência: O empregado  blá blá blá blá blá blá blá (descrever o que aconteceu)</w:t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conduta acima caracterizou, segundo o 482, da CLT:</w:t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a: ato de improbidade (ex: roubo, furto, falsificação de documentos, etc – o ato não precisa afetar necessariamente o patrimônio do empregador);</w:t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b: incontinência de conduta ou mau procedimento (se refere à ausência de pudor no ambiente de trabalho – ex: assédio sexual; já o mau procedimento é amplo, e compreende atos que comprometam a confiança);</w:t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c: negociação habitual por conta própria ou alheia sem permissão do empregador, e quando constituir ato de concorrência à empresa para a qual trabalha o empregado, ou for prejudicial ao serviço;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) Alínea d: condenação criminal do empregado, passada em julgado, caso não tenha havido suspensão da execução da pena;</w:t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e: desídia no desempenho das respectivas funções (Ex: preguiça, “corpo mole”, má vontade);</w:t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f: embriaguez habitual ou em serviço;</w:t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g: violação de segredo da empresa;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h: ato de indisciplina ou de insubordinação (descumprimento de ordens gerais ou particulares);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i: abandono de emprego (</w:t>
      </w:r>
      <w:r w:rsidDel="00000000" w:rsidR="00000000" w:rsidRPr="00000000">
        <w:rPr>
          <w:color w:val="000000"/>
          <w:vertAlign w:val="baseline"/>
          <w:rtl w:val="0"/>
        </w:rPr>
        <w:t xml:space="preserve">após</w:t>
      </w:r>
      <w:r w:rsidDel="00000000" w:rsidR="00000000" w:rsidRPr="00000000">
        <w:rPr>
          <w:vertAlign w:val="baseline"/>
          <w:rtl w:val="0"/>
        </w:rPr>
        <w:t xml:space="preserve"> 30 dias consecutivos de faltas</w:t>
      </w:r>
      <w:r w:rsidDel="00000000" w:rsidR="00000000" w:rsidRPr="00000000">
        <w:rPr>
          <w:color w:val="000000"/>
          <w:vertAlign w:val="baseline"/>
          <w:rtl w:val="0"/>
        </w:rPr>
        <w:t xml:space="preserve">)</w:t>
      </w:r>
      <w:r w:rsidDel="00000000" w:rsidR="00000000" w:rsidRPr="00000000">
        <w:rPr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j: ato lesivo da honra ou da boa fama praticado no serviço contra qualquer pessoa, ou ofensas físicas, nas mesmas condições, salvo em caso de legítima defesa, própria ou de outrem;</w:t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) Alínea k: ato lesivo da honra ou da boa fama ou ofensas físicas praticadas contra o empregador e superiores hierárquicos, salvo em caso de legítima defesa, própria ou de outrem (quando o ato é praticado contra o empregador, não se exige seja praticado em serviço);</w:t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  ) Alínea l: prática constante de jogos de azar.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Esclarecemos que a repetição de procedimentos como este poderá ser considerado como ato faltoso/falta grave, passível de dispensa do empregado por justa causa.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CIDADE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color w:val="000000"/>
          <w:vertAlign w:val="baseline"/>
          <w:rtl w:val="0"/>
        </w:rPr>
        <w:t xml:space="preserve">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6.0" w:type="dxa"/>
        <w:jc w:val="center"/>
        <w:tblLayout w:type="fixed"/>
        <w:tblLook w:val="0000"/>
      </w:tblPr>
      <w:tblGrid>
        <w:gridCol w:w="4607"/>
        <w:gridCol w:w="974"/>
        <w:gridCol w:w="3755"/>
        <w:tblGridChange w:id="0">
          <w:tblGrid>
            <w:gridCol w:w="4607"/>
            <w:gridCol w:w="974"/>
            <w:gridCol w:w="3755"/>
          </w:tblGrid>
        </w:tblGridChange>
      </w:tblGrid>
      <w:tr>
        <w:trPr>
          <w:trHeight w:val="281" w:hRule="atLeast"/>
        </w:trPr>
        <w:tc>
          <w:tcPr/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EMPRESA LTDA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ASSINATURA DO ADVERTIDO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CNPJ 00.000.000/0001-10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============================================================================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TESTEMUNHAS</w:t>
      </w:r>
    </w:p>
    <w:p w:rsidR="00000000" w:rsidDel="00000000" w:rsidP="00000000" w:rsidRDefault="00000000" w:rsidRPr="00000000" w14:paraId="00000027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Declaramos que o </w:t>
      </w:r>
      <w:r w:rsidDel="00000000" w:rsidR="00000000" w:rsidRPr="00000000">
        <w:rPr>
          <w:color w:val="000000"/>
          <w:vertAlign w:val="baseline"/>
          <w:rtl w:val="0"/>
        </w:rPr>
        <w:t xml:space="preserve">suspenso</w:t>
      </w:r>
      <w:r w:rsidDel="00000000" w:rsidR="00000000" w:rsidRPr="00000000">
        <w:rPr>
          <w:vertAlign w:val="baseline"/>
          <w:rtl w:val="0"/>
        </w:rPr>
        <w:t xml:space="preserve"> cometeu o ato acima descrito e se recusou a assinar a presente </w:t>
      </w:r>
      <w:r w:rsidDel="00000000" w:rsidR="00000000" w:rsidRPr="00000000">
        <w:rPr>
          <w:color w:val="000000"/>
          <w:vertAlign w:val="baseline"/>
          <w:rtl w:val="0"/>
        </w:rPr>
        <w:t xml:space="preserve">documento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53.0" w:type="dxa"/>
        <w:jc w:val="left"/>
        <w:tblInd w:w="29.0" w:type="dxa"/>
        <w:tblLayout w:type="fixed"/>
        <w:tblLook w:val="0000"/>
      </w:tblPr>
      <w:tblGrid>
        <w:gridCol w:w="1361"/>
        <w:gridCol w:w="3845"/>
        <w:gridCol w:w="284"/>
        <w:gridCol w:w="1143"/>
        <w:gridCol w:w="3920"/>
        <w:tblGridChange w:id="0">
          <w:tblGrid>
            <w:gridCol w:w="1361"/>
            <w:gridCol w:w="3845"/>
            <w:gridCol w:w="284"/>
            <w:gridCol w:w="1143"/>
            <w:gridCol w:w="3920"/>
          </w:tblGrid>
        </w:tblGridChange>
      </w:tblGrid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Assinatura: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overflowPunct w:val="0"/>
      <w:autoSpaceDE w:val="0"/>
      <w:spacing w:line="1" w:lineRule="atLeast"/>
      <w:ind w:left="708" w:right="0" w:leftChars="-1" w:rightChars="0" w:firstLine="708" w:firstLineChars="-1"/>
      <w:textDirection w:val="btLr"/>
      <w:textAlignment w:val="baseline"/>
      <w:outlineLvl w:val="2"/>
    </w:pPr>
    <w:rPr>
      <w:rFonts w:ascii="Tahoma" w:cs="Tahoma" w:hAnsi="Tahoma"/>
      <w:w w:val="100"/>
      <w:kern w:val="2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3Char">
    <w:name w:val="Título 3 Char"/>
    <w:basedOn w:val="Fonteparág.padrão2"/>
    <w:next w:val="Título3Char"/>
    <w:autoRedefine w:val="0"/>
    <w:hidden w:val="0"/>
    <w:qFormat w:val="0"/>
    <w:rPr>
      <w:rFonts w:ascii="Tahoma" w:cs="Tahoma" w:hAnsi="Tahoma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Hyperlink">
    <w:name w:val="Hyperlink"/>
    <w:basedOn w:val="Fonteparág.padrão2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debalãoChar">
    <w:name w:val="Texto de balão Char"/>
    <w:basedOn w:val="Fonteparág.padrão2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zh-CN"/>
    </w:rPr>
  </w:style>
  <w:style w:type="character" w:styleId="RodapéChar">
    <w:name w:val="Rodapé Char"/>
    <w:basedOn w:val="Fonteparág.padrão1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1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lfuvd">
    <w:name w:val="ilfuvd"/>
    <w:basedOn w:val="Fonteparág.padrão1"/>
    <w:next w:val="ilfuvd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kern w:val="2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xGprxkJmoX2rERkmC1rrMwfA==">AMUW2mWWYClpOenTsyTdKrjoqre9ZPOR1M0e+sj5yp21p8LeEpEenKK9YTtb+2yUfOu+0rN6B7jnVmSnedafaCa9jiEVadYXhtUrmRxqmj6SXLfN8EIxDp8=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1995-11-21T20:41:00Z</dcterms:created>
  <dc:creator>PC-5</dc:creator>
</cp:coreProperties>
</file>